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bookmarkStart w:id="0" w:name="_Toc27240"/>
      <w:r>
        <w:rPr>
          <w:rStyle w:val="8"/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1.</w:t>
      </w:r>
      <w:r>
        <w:rPr>
          <w:rStyle w:val="8"/>
          <w:rFonts w:hint="eastAsia" w:ascii="仿宋" w:hAnsi="仿宋" w:eastAsia="仿宋" w:cs="仿宋"/>
          <w:b/>
          <w:bCs/>
          <w:sz w:val="24"/>
          <w:szCs w:val="24"/>
        </w:rPr>
        <w:t>武当人才支持计划人才生活津贴申领（</w:t>
      </w:r>
      <w:r>
        <w:rPr>
          <w:rStyle w:val="8"/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第</w:t>
      </w:r>
      <w:r>
        <w:rPr>
          <w:rStyle w:val="8"/>
          <w:rFonts w:hint="eastAsia" w:ascii="仿宋" w:hAnsi="仿宋" w:eastAsia="仿宋" w:cs="仿宋"/>
          <w:b/>
          <w:bCs/>
          <w:sz w:val="24"/>
          <w:szCs w:val="24"/>
        </w:rPr>
        <w:t>三次申领</w:t>
      </w:r>
      <w:r>
        <w:rPr>
          <w:rStyle w:val="8"/>
          <w:rFonts w:hint="eastAsia" w:ascii="仿宋" w:hAnsi="仿宋" w:eastAsia="仿宋" w:cs="仿宋"/>
          <w:b/>
          <w:bCs/>
          <w:sz w:val="24"/>
          <w:szCs w:val="24"/>
          <w:lang w:eastAsia="zh-CN"/>
        </w:rPr>
        <w:t>）</w:t>
      </w:r>
      <w:r>
        <w:rPr>
          <w:rStyle w:val="8"/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操作手册</w:t>
      </w:r>
      <w:bookmarkEnd w:id="0"/>
    </w:p>
    <w:p>
      <w:pPr>
        <w:pStyle w:val="5"/>
        <w:ind w:left="0" w:leftChars="0" w:firstLine="0" w:firstLineChars="0"/>
        <w:rPr>
          <w:rFonts w:hint="eastAsia"/>
          <w:b/>
          <w:bCs/>
          <w:sz w:val="18"/>
          <w:szCs w:val="20"/>
          <w:lang w:val="en-US" w:eastAsia="zh-CN"/>
        </w:rPr>
      </w:pPr>
    </w:p>
    <w:p>
      <w:pPr>
        <w:pStyle w:val="3"/>
        <w:bidi w:val="0"/>
        <w:rPr>
          <w:rFonts w:hint="eastAsia" w:ascii="仿宋" w:hAnsi="仿宋" w:eastAsia="仿宋" w:cs="仿宋"/>
        </w:rPr>
      </w:pPr>
      <w:bookmarkStart w:id="1" w:name="_Toc29274"/>
      <w:r>
        <w:rPr>
          <w:rFonts w:hint="eastAsia" w:ascii="仿宋" w:hAnsi="仿宋" w:eastAsia="仿宋" w:cs="仿宋"/>
          <w:lang w:val="en-US" w:eastAsia="zh-CN"/>
        </w:rPr>
        <w:t>1.1</w:t>
      </w:r>
      <w:r>
        <w:rPr>
          <w:rFonts w:hint="eastAsia" w:ascii="仿宋" w:hAnsi="仿宋" w:eastAsia="仿宋" w:cs="仿宋"/>
        </w:rPr>
        <w:t>个人申请</w:t>
      </w:r>
      <w:bookmarkEnd w:id="1"/>
    </w:p>
    <w:p>
      <w:pPr>
        <w:ind w:firstLine="56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个人在十堰亲清在线平台（http://qqzx.shiyan.gov.cn/home.html）注册、登陆后，在人才专区--人才服务--武当人才支持计划人才生活津贴申领（第三次申领）事项中点击“立即申报”，跳转到申报指南详情页后点击“前往申报”。</w:t>
      </w:r>
    </w:p>
    <w:p>
      <w:pPr>
        <w:ind w:firstLine="420" w:firstLineChars="0"/>
        <w:rPr>
          <w:rFonts w:hint="eastAsia" w:ascii="仿宋" w:hAnsi="仿宋" w:eastAsia="仿宋" w:cs="仿宋"/>
          <w:sz w:val="24"/>
          <w:szCs w:val="24"/>
        </w:rPr>
      </w:pPr>
      <w:r>
        <w:drawing>
          <wp:inline distT="0" distB="0" distL="114300" distR="114300">
            <wp:extent cx="5268595" cy="2609850"/>
            <wp:effectExtent l="0" t="0" r="444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>
      <w:pPr>
        <w:ind w:firstLine="420" w:firstLineChars="0"/>
        <w:rPr>
          <w:rFonts w:hint="eastAsia" w:ascii="仿宋" w:hAnsi="仿宋" w:eastAsia="仿宋" w:cs="仿宋"/>
          <w:sz w:val="24"/>
          <w:szCs w:val="24"/>
        </w:rPr>
      </w:pPr>
      <w:r>
        <w:drawing>
          <wp:inline distT="0" distB="0" distL="114300" distR="114300">
            <wp:extent cx="5272405" cy="2872105"/>
            <wp:effectExtent l="0" t="0" r="63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0" w:leftChars="0" w:firstLine="0" w:firstLineChars="0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sz w:val="24"/>
          <w:szCs w:val="24"/>
        </w:rPr>
        <w:t>按照页面提示，填写相关信息，点击生成申请表。</w:t>
      </w:r>
    </w:p>
    <w:p>
      <w:pPr>
        <w:ind w:firstLine="420" w:firstLineChars="0"/>
        <w:rPr>
          <w:rFonts w:ascii="仿宋_GB2312" w:hAnsi="仿宋_GB2312" w:eastAsia="仿宋_GB2312" w:cs="仿宋_GB2312"/>
          <w:sz w:val="24"/>
          <w:szCs w:val="24"/>
        </w:rPr>
      </w:pPr>
      <w:r>
        <w:rPr>
          <w:sz w:val="22"/>
          <w:szCs w:val="20"/>
        </w:rPr>
        <w:drawing>
          <wp:inline distT="0" distB="0" distL="0" distR="0">
            <wp:extent cx="5274310" cy="2573655"/>
            <wp:effectExtent l="0" t="0" r="13970" b="190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sz w:val="22"/>
          <w:szCs w:val="20"/>
        </w:rPr>
        <w:drawing>
          <wp:inline distT="0" distB="0" distL="0" distR="0">
            <wp:extent cx="5274310" cy="2573655"/>
            <wp:effectExtent l="0" t="0" r="13970" b="190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</w:rPr>
        <w:t>通过平台把相关材料提交给单位（</w:t>
      </w:r>
      <w:r>
        <w:rPr>
          <w:rFonts w:hint="eastAsia" w:ascii="仿宋" w:hAnsi="仿宋" w:eastAsia="仿宋" w:cs="仿宋"/>
          <w:color w:val="FF0000"/>
          <w:sz w:val="24"/>
          <w:szCs w:val="24"/>
        </w:rPr>
        <w:t>为确保平台上有相关单位信息，在个人申报前，单位必须在十堰亲清在线平台注册登陆</w:t>
      </w:r>
      <w:r>
        <w:rPr>
          <w:rFonts w:hint="eastAsia" w:ascii="仿宋" w:hAnsi="仿宋" w:eastAsia="仿宋" w:cs="仿宋"/>
          <w:sz w:val="24"/>
          <w:szCs w:val="24"/>
        </w:rPr>
        <w:t>）。</w:t>
      </w:r>
    </w:p>
    <w:p>
      <w:pPr>
        <w:ind w:firstLine="420" w:firstLineChars="0"/>
        <w:rPr>
          <w:sz w:val="22"/>
          <w:szCs w:val="20"/>
        </w:rPr>
      </w:pPr>
      <w:r>
        <w:rPr>
          <w:sz w:val="22"/>
          <w:szCs w:val="20"/>
        </w:rPr>
        <w:drawing>
          <wp:inline distT="0" distB="0" distL="0" distR="0">
            <wp:extent cx="5274310" cy="2583180"/>
            <wp:effectExtent l="0" t="0" r="13970" b="762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default"/>
          <w:sz w:val="18"/>
          <w:szCs w:val="20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ind w:firstLine="420" w:firstLineChars="0"/>
        <w:rPr>
          <w:sz w:val="22"/>
          <w:szCs w:val="20"/>
        </w:rPr>
      </w:pPr>
      <w:r>
        <w:rPr>
          <w:sz w:val="22"/>
          <w:szCs w:val="20"/>
        </w:rPr>
        <w:drawing>
          <wp:inline distT="0" distB="0" distL="114300" distR="114300">
            <wp:extent cx="5267960" cy="1573530"/>
            <wp:effectExtent l="0" t="0" r="5080" b="1143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" w:hAnsi="仿宋" w:eastAsia="仿宋" w:cs="仿宋"/>
          <w:sz w:val="22"/>
          <w:szCs w:val="20"/>
        </w:rPr>
      </w:pPr>
      <w:r>
        <w:rPr>
          <w:rFonts w:hint="eastAsia" w:ascii="仿宋" w:hAnsi="仿宋" w:eastAsia="仿宋" w:cs="仿宋"/>
          <w:sz w:val="24"/>
          <w:szCs w:val="24"/>
        </w:rPr>
        <w:t>选择相应的单位，点击“添加用户”。</w:t>
      </w:r>
    </w:p>
    <w:p>
      <w:pPr>
        <w:ind w:firstLine="420" w:firstLineChars="0"/>
        <w:rPr>
          <w:rFonts w:hint="eastAsia" w:ascii="仿宋" w:hAnsi="仿宋" w:eastAsia="仿宋" w:cs="仿宋"/>
          <w:sz w:val="22"/>
          <w:szCs w:val="20"/>
        </w:rPr>
      </w:pPr>
      <w:r>
        <w:rPr>
          <w:rFonts w:hint="eastAsia" w:ascii="仿宋" w:hAnsi="仿宋" w:eastAsia="仿宋" w:cs="仿宋"/>
          <w:sz w:val="22"/>
          <w:szCs w:val="20"/>
        </w:rPr>
        <w:drawing>
          <wp:inline distT="0" distB="0" distL="114300" distR="114300">
            <wp:extent cx="5269865" cy="3082290"/>
            <wp:effectExtent l="0" t="0" r="3175" b="1143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点击“提交”</w:t>
      </w:r>
    </w:p>
    <w:p>
      <w:pPr>
        <w:ind w:firstLine="420"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3917950" cy="1536700"/>
            <wp:effectExtent l="0" t="0" r="13970" b="254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179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="仿宋" w:hAnsi="仿宋" w:eastAsia="仿宋" w:cs="仿宋"/>
          <w:sz w:val="28"/>
          <w:szCs w:val="28"/>
        </w:rPr>
      </w:pPr>
      <w:bookmarkStart w:id="2" w:name="_Toc25469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1.2</w:t>
      </w:r>
      <w:r>
        <w:rPr>
          <w:rFonts w:hint="eastAsia" w:ascii="仿宋" w:hAnsi="仿宋" w:eastAsia="仿宋" w:cs="仿宋"/>
          <w:sz w:val="28"/>
          <w:szCs w:val="28"/>
        </w:rPr>
        <w:t>单位（企业）审批</w:t>
      </w:r>
      <w:bookmarkEnd w:id="2"/>
    </w:p>
    <w:p>
      <w:pPr>
        <w:ind w:firstLine="56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用人单位使用法人账号登陆平台（http://qqzx.shiyan.gov.cn/home.html），点击右上角企业名称进入企业中心，在平台首页-企业名称-企业中心-待审批菜单中对申请人提交的资料进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ab/>
      </w:r>
      <w:r>
        <w:rPr>
          <w:rFonts w:hint="eastAsia" w:ascii="仿宋" w:hAnsi="仿宋" w:eastAsia="仿宋" w:cs="仿宋"/>
          <w:sz w:val="24"/>
          <w:szCs w:val="24"/>
        </w:rPr>
        <w:t>行审批、确认。</w:t>
      </w:r>
    </w:p>
    <w:p>
      <w:pPr>
        <w:pStyle w:val="5"/>
        <w:rPr>
          <w:rFonts w:hint="eastAsia" w:ascii="仿宋" w:hAnsi="仿宋" w:eastAsia="仿宋" w:cs="仿宋"/>
          <w:sz w:val="24"/>
          <w:szCs w:val="24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5"/>
        <w:rPr>
          <w:sz w:val="18"/>
          <w:szCs w:val="20"/>
        </w:rPr>
      </w:pPr>
      <w:r>
        <w:rPr>
          <w:sz w:val="18"/>
          <w:szCs w:val="20"/>
        </w:rPr>
        <w:drawing>
          <wp:inline distT="0" distB="0" distL="0" distR="0">
            <wp:extent cx="5274310" cy="2597150"/>
            <wp:effectExtent l="0" t="0" r="13970" b="889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18"/>
          <w:szCs w:val="20"/>
        </w:rPr>
      </w:pPr>
    </w:p>
    <w:p>
      <w:pPr>
        <w:spacing w:line="600" w:lineRule="exact"/>
        <w:ind w:firstLine="6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单位填写页面上提示的必填内容：金额、负责人姓名、所属区、企业性质等审批内容后，点击生成申请表，并上传“在职证明”、“工作一年表现证明”，而后在页面右上角点击“同意”后，相关的信息自动提交到对应政府单位进行审核办理。</w:t>
      </w:r>
    </w:p>
    <w:p>
      <w:pPr>
        <w:ind w:firstLine="420"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2"/>
          <w:szCs w:val="20"/>
        </w:rPr>
        <w:drawing>
          <wp:inline distT="0" distB="0" distL="0" distR="0">
            <wp:extent cx="5274310" cy="2573655"/>
            <wp:effectExtent l="0" t="0" r="13970" b="190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</w:rPr>
        <w:t>按照企业性质来区分不同的审批流程，详细如下：</w:t>
      </w:r>
    </w:p>
    <w:p>
      <w:pPr>
        <w:ind w:firstLine="420"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(1)驻市高校、市直单位审批流程：个人提交-单位审核-市人才中心初审-市人才中心复审-专技科-市人社局。</w:t>
      </w:r>
    </w:p>
    <w:p>
      <w:pPr>
        <w:pStyle w:val="5"/>
        <w:rPr>
          <w:rFonts w:hint="eastAsia" w:ascii="仿宋" w:hAnsi="仿宋" w:eastAsia="仿宋" w:cs="仿宋"/>
          <w:sz w:val="18"/>
          <w:szCs w:val="20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ind w:firstLine="420" w:firstLineChars="0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(2)茅箭区、张湾区、郧阳区、经开区企业审批流程：个人提交-单位审核-区人社局初审-区人社局复审-市人才中心初审-市人才中心复审-专技科-市人社局。</w:t>
      </w:r>
      <w:r>
        <w:rPr>
          <w:rFonts w:hint="eastAsia" w:ascii="仿宋" w:hAnsi="仿宋" w:eastAsia="仿宋" w:cs="仿宋"/>
          <w:sz w:val="21"/>
          <w:szCs w:val="20"/>
        </w:rPr>
        <w:drawing>
          <wp:inline distT="0" distB="0" distL="114300" distR="114300">
            <wp:extent cx="7988935" cy="2656205"/>
            <wp:effectExtent l="0" t="0" r="10795" b="12065"/>
            <wp:docPr id="1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88935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</w:p>
    <w:p>
      <w:pPr>
        <w:pStyle w:val="3"/>
        <w:bidi w:val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1.3</w:t>
      </w:r>
      <w:r>
        <w:rPr>
          <w:rFonts w:hint="eastAsia" w:ascii="仿宋" w:hAnsi="仿宋" w:eastAsia="仿宋" w:cs="仿宋"/>
          <w:sz w:val="28"/>
          <w:szCs w:val="28"/>
        </w:rPr>
        <w:t>审核办理</w:t>
      </w:r>
    </w:p>
    <w:p>
      <w:pPr>
        <w:ind w:firstLine="56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各区人社局、市人才中心、专技科、市人社局使用分配的账号登陆平台管理端（http://qqzx.shiyan.gov.cn/platform/#/login），在申报管理--待处理菜单查看申报信息材料进行审核，并填写意见生成申请表，而后点击页面右上角“同意”或“驳回”。</w:t>
      </w:r>
    </w:p>
    <w:p>
      <w:pPr>
        <w:pStyle w:val="5"/>
        <w:rPr>
          <w:sz w:val="18"/>
          <w:szCs w:val="20"/>
        </w:rPr>
      </w:pPr>
      <w:r>
        <w:rPr>
          <w:sz w:val="18"/>
          <w:szCs w:val="20"/>
        </w:rPr>
        <w:drawing>
          <wp:inline distT="0" distB="0" distL="0" distR="0">
            <wp:extent cx="5274310" cy="2573655"/>
            <wp:effectExtent l="0" t="0" r="13970" b="190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0" w:leftChars="0" w:firstLine="0" w:firstLineChars="0"/>
        <w:rPr>
          <w:rFonts w:hint="default"/>
          <w:sz w:val="18"/>
          <w:szCs w:val="20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4"/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1.3.1</w:t>
      </w:r>
      <w:r>
        <w:rPr>
          <w:rFonts w:hint="eastAsia" w:ascii="仿宋" w:hAnsi="仿宋" w:eastAsia="仿宋" w:cs="仿宋"/>
        </w:rPr>
        <w:t>张湾区、郧阳区、茅箭区、经开区人社局初审岗</w:t>
      </w:r>
    </w:p>
    <w:p>
      <w:pPr>
        <w:pStyle w:val="9"/>
        <w:ind w:left="420" w:leftChars="0" w:firstLine="420" w:firstLineChars="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首先审核申报人上传的相关附件，确认审批信息是否正确，然后点击“点击生成申请表”后进行预览审核。</w:t>
      </w:r>
      <w:r>
        <w:rPr>
          <w:rFonts w:hint="eastAsia" w:ascii="仿宋" w:hAnsi="仿宋" w:eastAsia="仿宋" w:cs="仿宋"/>
          <w:sz w:val="22"/>
          <w:szCs w:val="20"/>
        </w:rPr>
        <w:drawing>
          <wp:inline distT="0" distB="0" distL="0" distR="0">
            <wp:extent cx="5274310" cy="2409190"/>
            <wp:effectExtent l="0" t="0" r="13970" b="1397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420" w:firstLine="0" w:firstLineChars="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然后点击右上角“同意”即可，申报信息进入下一节点进行审批。若申报数据有问题，可点击驳回，写明驳回原因后点击提交。</w:t>
      </w:r>
    </w:p>
    <w:p>
      <w:pPr>
        <w:pStyle w:val="4"/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1.3.2</w:t>
      </w:r>
      <w:r>
        <w:rPr>
          <w:rFonts w:hint="eastAsia" w:ascii="仿宋" w:hAnsi="仿宋" w:eastAsia="仿宋" w:cs="仿宋"/>
        </w:rPr>
        <w:t>张湾区、郧阳区、茅箭区、经开区人社局复审岗</w:t>
      </w:r>
    </w:p>
    <w:p>
      <w:pPr>
        <w:pStyle w:val="5"/>
        <w:rPr>
          <w:rFonts w:hint="default"/>
          <w:sz w:val="18"/>
          <w:szCs w:val="20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sz w:val="24"/>
          <w:szCs w:val="24"/>
        </w:rPr>
        <w:t>首先审核申报人上传的相关附件，确认审批信息是否正确，然后点击“点击生成申请表”后进行预览审核。</w:t>
      </w:r>
      <w:r>
        <w:rPr>
          <w:rFonts w:hint="eastAsia" w:ascii="仿宋" w:hAnsi="仿宋" w:eastAsia="仿宋" w:cs="仿宋"/>
          <w:sz w:val="18"/>
          <w:szCs w:val="20"/>
        </w:rPr>
        <w:drawing>
          <wp:inline distT="0" distB="0" distL="0" distR="0">
            <wp:extent cx="5274310" cy="2409190"/>
            <wp:effectExtent l="0" t="0" r="13970" b="1397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然后点击右上角“同意”即可，申报信息进入下一节点进行审批。若申报数据有问题，可点击驳回，写明驳回原因后点击提交。</w:t>
      </w:r>
    </w:p>
    <w:p>
      <w:pPr>
        <w:pStyle w:val="5"/>
        <w:rPr>
          <w:rFonts w:hint="eastAsia" w:ascii="仿宋" w:hAnsi="仿宋" w:eastAsia="仿宋" w:cs="仿宋"/>
          <w:sz w:val="24"/>
          <w:szCs w:val="24"/>
        </w:rPr>
      </w:pPr>
    </w:p>
    <w:p>
      <w:pPr>
        <w:pStyle w:val="4"/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1.3.3</w:t>
      </w:r>
      <w:r>
        <w:rPr>
          <w:rFonts w:hint="eastAsia" w:ascii="仿宋" w:hAnsi="仿宋" w:eastAsia="仿宋" w:cs="仿宋"/>
        </w:rPr>
        <w:t>市人才中心初审岗</w:t>
      </w:r>
    </w:p>
    <w:p>
      <w:pPr>
        <w:pStyle w:val="9"/>
        <w:ind w:left="420" w:leftChars="0" w:firstLine="420" w:firstLineChars="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首先审核申报人上传的相关附件，然后点击“点击生成申请表”后进行预览审核。</w:t>
      </w:r>
      <w:r>
        <w:rPr>
          <w:rFonts w:hint="eastAsia" w:ascii="仿宋" w:hAnsi="仿宋" w:eastAsia="仿宋" w:cs="仿宋"/>
          <w:sz w:val="22"/>
          <w:szCs w:val="20"/>
        </w:rPr>
        <w:drawing>
          <wp:inline distT="0" distB="0" distL="0" distR="0">
            <wp:extent cx="5274310" cy="2289810"/>
            <wp:effectExtent l="0" t="0" r="13970" b="1143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420" w:firstLine="0" w:firstLineChars="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然后点击右上角“同意”即可，申报信息进入下一节点进行审批。若申报数据有问题，可点击驳回，写明驳回原因后点击提交。</w:t>
      </w:r>
    </w:p>
    <w:p>
      <w:pPr>
        <w:pStyle w:val="5"/>
        <w:rPr>
          <w:rFonts w:hint="eastAsia" w:ascii="仿宋" w:hAnsi="仿宋" w:eastAsia="仿宋" w:cs="仿宋"/>
          <w:sz w:val="24"/>
          <w:szCs w:val="24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4"/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1.3.4</w:t>
      </w:r>
      <w:r>
        <w:rPr>
          <w:rFonts w:hint="eastAsia" w:ascii="仿宋" w:hAnsi="仿宋" w:eastAsia="仿宋" w:cs="仿宋"/>
        </w:rPr>
        <w:t>市人才中心复审岗</w:t>
      </w:r>
    </w:p>
    <w:p>
      <w:pPr>
        <w:pStyle w:val="9"/>
        <w:ind w:left="420" w:leftChars="0" w:firstLine="420" w:firstLineChars="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首先审核申报人上传的相关附件，然后点击“点击生成申请表”后进行预览审核。</w:t>
      </w:r>
      <w:r>
        <w:rPr>
          <w:rFonts w:hint="eastAsia" w:ascii="仿宋" w:hAnsi="仿宋" w:eastAsia="仿宋" w:cs="仿宋"/>
          <w:sz w:val="22"/>
          <w:szCs w:val="20"/>
        </w:rPr>
        <w:drawing>
          <wp:inline distT="0" distB="0" distL="0" distR="0">
            <wp:extent cx="5274310" cy="2409190"/>
            <wp:effectExtent l="0" t="0" r="13970" b="1397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420" w:firstLine="0" w:firstLineChars="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然后点击右上角“同意”即可，申报信息进入下一节点进行审批。若申报数据有问题，可点击驳回，写明驳回原因后点击提交。</w:t>
      </w:r>
    </w:p>
    <w:p>
      <w:pPr>
        <w:pStyle w:val="4"/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1.3.5</w:t>
      </w:r>
      <w:r>
        <w:rPr>
          <w:rFonts w:hint="eastAsia" w:ascii="仿宋" w:hAnsi="仿宋" w:eastAsia="仿宋" w:cs="仿宋"/>
        </w:rPr>
        <w:t>专技科</w:t>
      </w:r>
    </w:p>
    <w:p>
      <w:pPr>
        <w:pStyle w:val="9"/>
        <w:ind w:left="420" w:leftChars="0" w:firstLine="420" w:firstLineChars="0"/>
        <w:jc w:val="left"/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首先审核申报人上传的相关附件，然后点击“点击生成申请表”后进行预览审核。</w:t>
      </w:r>
      <w:r>
        <w:rPr>
          <w:sz w:val="22"/>
          <w:szCs w:val="20"/>
        </w:rPr>
        <w:drawing>
          <wp:inline distT="0" distB="0" distL="0" distR="0">
            <wp:extent cx="5274310" cy="1869440"/>
            <wp:effectExtent l="0" t="0" r="13970" b="508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9"/>
        <w:ind w:left="420" w:firstLine="0" w:firstLineChars="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然后点击右上角“同意”即可，申报信息进入下一节点进行审批。若申报数据有问题，可点击驳回，写明驳回原因后点击提交。</w:t>
      </w:r>
    </w:p>
    <w:p>
      <w:pPr>
        <w:pStyle w:val="4"/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1.3.6</w:t>
      </w:r>
      <w:r>
        <w:rPr>
          <w:rFonts w:hint="eastAsia" w:ascii="仿宋" w:hAnsi="仿宋" w:eastAsia="仿宋" w:cs="仿宋"/>
        </w:rPr>
        <w:t>市人社局审核岗</w:t>
      </w:r>
    </w:p>
    <w:p>
      <w:pPr>
        <w:pStyle w:val="9"/>
        <w:ind w:left="420" w:leftChars="0" w:firstLine="420" w:firstLineChars="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首先审核申报人上传的相关附件，确认审批信息是否正确，然后点击“点击生成申请表”后进行预览审核。</w:t>
      </w:r>
      <w:r>
        <w:rPr>
          <w:rFonts w:hint="eastAsia" w:ascii="仿宋" w:hAnsi="仿宋" w:eastAsia="仿宋" w:cs="仿宋"/>
          <w:sz w:val="22"/>
          <w:szCs w:val="20"/>
        </w:rPr>
        <w:drawing>
          <wp:inline distT="0" distB="0" distL="0" distR="0">
            <wp:extent cx="5274310" cy="2409190"/>
            <wp:effectExtent l="0" t="0" r="13970" b="1397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420" w:firstLine="0" w:firstLineChars="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然后点击右上角“同意”即可，申报信息进入下一节点进行审批。若申报数据有问题，可点击驳回，写明驳回原因后点击提交。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560"/>
      </w:pPr>
      <w:r>
        <w:separator/>
      </w:r>
    </w:p>
  </w:endnote>
  <w:endnote w:type="continuationSeparator" w:id="1">
    <w:p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560"/>
      </w:pPr>
      <w:r>
        <w:separator/>
      </w:r>
    </w:p>
  </w:footnote>
  <w:footnote w:type="continuationSeparator" w:id="1">
    <w:p>
      <w:pPr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ZhMjVhMjkwN2Y1YTM1OThiNTllYzhlMzNlYzFkOWYifQ=="/>
  </w:docVars>
  <w:rsids>
    <w:rsidRoot w:val="19CA12B3"/>
    <w:rsid w:val="19CA12B3"/>
    <w:rsid w:val="3459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562" w:firstLineChars="200"/>
      <w:jc w:val="both"/>
    </w:pPr>
    <w:rPr>
      <w:rFonts w:asciiTheme="minorAscii" w:hAnsiTheme="minorAscii" w:eastAsiaTheme="minorEastAsia" w:cstheme="minorBidi"/>
      <w:kern w:val="2"/>
      <w:sz w:val="28"/>
      <w:szCs w:val="22"/>
      <w:lang w:val="en-US" w:eastAsia="zh-CN" w:bidi="ar-SA"/>
    </w:rPr>
  </w:style>
  <w:style w:type="paragraph" w:styleId="2">
    <w:name w:val="heading 2"/>
    <w:basedOn w:val="1"/>
    <w:next w:val="1"/>
    <w:link w:val="8"/>
    <w:unhideWhenUsed/>
    <w:qFormat/>
    <w:uiPriority w:val="0"/>
    <w:pPr>
      <w:keepNext/>
      <w:keepLines/>
      <w:spacing w:line="360" w:lineRule="auto"/>
      <w:ind w:firstLine="0" w:firstLineChars="0"/>
      <w:jc w:val="left"/>
      <w:outlineLvl w:val="1"/>
    </w:pPr>
    <w:rPr>
      <w:rFonts w:eastAsia="宋体" w:asciiTheme="majorAscii" w:hAnsiTheme="majorAscii" w:cstheme="majorBidi"/>
      <w:b/>
      <w:bCs/>
      <w:szCs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240" w:lineRule="auto"/>
      <w:ind w:firstLine="0" w:firstLineChars="0"/>
      <w:outlineLvl w:val="2"/>
    </w:pPr>
    <w:rPr>
      <w:rFonts w:eastAsia="宋体"/>
      <w:b/>
      <w:sz w:val="24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240" w:lineRule="auto"/>
      <w:ind w:firstLine="0" w:firstLineChars="0"/>
      <w:outlineLvl w:val="3"/>
    </w:pPr>
    <w:rPr>
      <w:rFonts w:ascii="Arial" w:hAnsi="Arial" w:eastAsia="黑体"/>
      <w:b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spacing w:after="120"/>
    </w:pPr>
    <w:rPr>
      <w:sz w:val="21"/>
    </w:rPr>
  </w:style>
  <w:style w:type="character" w:customStyle="1" w:styleId="8">
    <w:name w:val="标题 2 字符"/>
    <w:basedOn w:val="7"/>
    <w:link w:val="2"/>
    <w:autoRedefine/>
    <w:semiHidden/>
    <w:qFormat/>
    <w:uiPriority w:val="9"/>
    <w:rPr>
      <w:rFonts w:eastAsia="宋体" w:asciiTheme="majorAscii" w:hAnsiTheme="majorAscii" w:cstheme="majorBidi"/>
      <w:b/>
      <w:bCs/>
      <w:szCs w:val="32"/>
    </w:rPr>
  </w:style>
  <w:style w:type="paragraph" w:styleId="9">
    <w:name w:val="List Paragraph"/>
    <w:basedOn w:val="1"/>
    <w:autoRedefine/>
    <w:qFormat/>
    <w:uiPriority w:val="34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1313</Words>
  <Characters>1460</Characters>
  <Lines>0</Lines>
  <Paragraphs>0</Paragraphs>
  <TotalTime>3</TotalTime>
  <ScaleCrop>false</ScaleCrop>
  <LinksUpToDate>false</LinksUpToDate>
  <CharactersWithSpaces>1461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2024-05-20T08:49:00Z</dcterms:created>
  <dc:creator>王瑛杰</dc:creator>
  <cp:lastModifiedBy>王瑛杰</cp:lastModifiedBy>
  <dcterms:modified xsi:type="dcterms:W3CDTF">2024-05-22T08:44:12Z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7DDC520120034358AE85327013E13A28_11</vt:lpwstr>
  </property>
</Properties>
</file>