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</w:pPr>
      <w:bookmarkStart w:id="0" w:name="_Toc4100"/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FFFFFF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FFFFFF"/>
        </w:rPr>
        <w:t>人才津贴（含大学生</w:t>
      </w:r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sz w:val="28"/>
          <w:szCs w:val="28"/>
          <w:shd w:val="clear" w:color="auto" w:fill="FFFFFF"/>
          <w:lang w:val="en-US" w:eastAsia="zh-CN"/>
        </w:rPr>
        <w:t>第二、三次申报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操作手册</w:t>
      </w:r>
      <w:bookmarkEnd w:id="0"/>
    </w:p>
    <w:p>
      <w:pPr>
        <w:pStyle w:val="3"/>
        <w:bidi w:val="0"/>
        <w:rPr>
          <w:rFonts w:hint="eastAsia" w:ascii="仿宋" w:hAnsi="仿宋" w:eastAsia="仿宋" w:cs="仿宋"/>
        </w:rPr>
      </w:pPr>
      <w:bookmarkStart w:id="1" w:name="_Toc30423"/>
      <w:r>
        <w:rPr>
          <w:rFonts w:hint="eastAsia" w:ascii="仿宋" w:hAnsi="仿宋" w:eastAsia="仿宋" w:cs="仿宋"/>
          <w:lang w:val="en-US" w:eastAsia="zh-CN"/>
        </w:rPr>
        <w:t>1.1</w:t>
      </w:r>
      <w:r>
        <w:rPr>
          <w:rFonts w:hint="eastAsia" w:ascii="仿宋" w:hAnsi="仿宋" w:eastAsia="仿宋" w:cs="仿宋"/>
        </w:rPr>
        <w:t>个人申请</w:t>
      </w:r>
      <w:bookmarkEnd w:id="1"/>
    </w:p>
    <w:p>
      <w:pPr>
        <w:ind w:firstLine="560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个人在十堰亲清在线平台（http://qqzx.shiyan.gov.cn/home.html）注册、登陆后，在人才专区--人才服务--人才津贴申领（含大学生）（第二、三次申领）事项中点击“立即申报”，跳转到申报指南详情页后点击“前往申报”。</w:t>
      </w:r>
    </w:p>
    <w:p>
      <w:pPr>
        <w:ind w:firstLine="420" w:firstLineChars="0"/>
        <w:rPr>
          <w:rFonts w:hint="eastAsia" w:ascii="仿宋" w:hAnsi="仿宋" w:eastAsia="仿宋" w:cs="仿宋"/>
          <w:sz w:val="22"/>
          <w:szCs w:val="20"/>
        </w:rPr>
      </w:pPr>
      <w:r>
        <w:drawing>
          <wp:inline distT="0" distB="0" distL="114300" distR="114300">
            <wp:extent cx="5266690" cy="3054350"/>
            <wp:effectExtent l="0" t="0" r="635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712720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按照页面提示，填写相关信息，点击生成申请表，并按照要求上传相关的证明材料。</w:t>
      </w:r>
    </w:p>
    <w:p>
      <w:pPr>
        <w:ind w:firstLine="420" w:firstLineChars="0"/>
        <w:rPr>
          <w:sz w:val="22"/>
          <w:szCs w:val="20"/>
        </w:rPr>
      </w:pPr>
      <w:r>
        <w:rPr>
          <w:sz w:val="22"/>
          <w:szCs w:val="20"/>
        </w:rPr>
        <w:drawing>
          <wp:inline distT="0" distB="0" distL="0" distR="0">
            <wp:extent cx="5274310" cy="2345690"/>
            <wp:effectExtent l="0" t="0" r="1397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sz w:val="22"/>
          <w:szCs w:val="20"/>
        </w:rPr>
        <w:drawing>
          <wp:inline distT="0" distB="0" distL="0" distR="0">
            <wp:extent cx="5274310" cy="2353945"/>
            <wp:effectExtent l="0" t="0" r="13970" b="8255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通过平台把相关材料提交给单位（</w:t>
      </w:r>
      <w:r>
        <w:rPr>
          <w:rFonts w:hint="eastAsia" w:ascii="仿宋" w:hAnsi="仿宋" w:eastAsia="仿宋" w:cs="仿宋"/>
          <w:color w:val="FF0000"/>
          <w:sz w:val="24"/>
          <w:szCs w:val="24"/>
        </w:rPr>
        <w:t>为确保平台上有相关单位信息，在个人申报前，单位必须在十堰亲清在线平台注册登陆</w:t>
      </w:r>
      <w:r>
        <w:rPr>
          <w:rFonts w:hint="eastAsia" w:ascii="仿宋" w:hAnsi="仿宋" w:eastAsia="仿宋" w:cs="仿宋"/>
          <w:sz w:val="24"/>
          <w:szCs w:val="24"/>
        </w:rPr>
        <w:t>）。</w:t>
      </w:r>
    </w:p>
    <w:p>
      <w:pPr>
        <w:pStyle w:val="5"/>
        <w:rPr>
          <w:sz w:val="18"/>
          <w:szCs w:val="20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18"/>
          <w:szCs w:val="20"/>
        </w:rPr>
        <w:drawing>
          <wp:inline distT="0" distB="0" distL="0" distR="0">
            <wp:extent cx="5274310" cy="2337435"/>
            <wp:effectExtent l="0" t="0" r="13970" b="952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2"/>
          <w:szCs w:val="20"/>
        </w:rPr>
      </w:pPr>
      <w:r>
        <w:rPr>
          <w:sz w:val="22"/>
          <w:szCs w:val="20"/>
        </w:rPr>
        <w:drawing>
          <wp:inline distT="0" distB="0" distL="114300" distR="114300">
            <wp:extent cx="5267960" cy="1573530"/>
            <wp:effectExtent l="0" t="0" r="5080" b="1143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选择相应的单位，点击“添加用户”。</w:t>
      </w:r>
    </w:p>
    <w:p>
      <w:pPr>
        <w:ind w:firstLine="420" w:firstLineChars="0"/>
        <w:rPr>
          <w:rFonts w:hint="eastAsia" w:ascii="仿宋" w:hAnsi="仿宋" w:eastAsia="仿宋" w:cs="仿宋"/>
          <w:sz w:val="22"/>
          <w:szCs w:val="20"/>
        </w:rPr>
      </w:pP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114300" distR="114300">
            <wp:extent cx="5269865" cy="3082290"/>
            <wp:effectExtent l="0" t="0" r="3175" b="1143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点击“提交”</w:t>
      </w:r>
    </w:p>
    <w:p>
      <w:pPr>
        <w:ind w:firstLine="420" w:firstLineChars="0"/>
        <w:rPr>
          <w:sz w:val="22"/>
          <w:szCs w:val="20"/>
        </w:rPr>
      </w:pPr>
      <w:r>
        <w:rPr>
          <w:sz w:val="22"/>
          <w:szCs w:val="20"/>
        </w:rPr>
        <w:drawing>
          <wp:inline distT="0" distB="0" distL="114300" distR="114300">
            <wp:extent cx="3917950" cy="1536700"/>
            <wp:effectExtent l="0" t="0" r="13970" b="254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hint="default"/>
          <w:sz w:val="18"/>
          <w:szCs w:val="20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3"/>
        <w:bidi w:val="0"/>
        <w:rPr>
          <w:rFonts w:hint="eastAsia" w:ascii="仿宋" w:hAnsi="仿宋" w:eastAsia="仿宋" w:cs="仿宋"/>
          <w:sz w:val="28"/>
          <w:szCs w:val="28"/>
        </w:rPr>
      </w:pPr>
      <w:bookmarkStart w:id="2" w:name="_Toc471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1.2</w:t>
      </w:r>
      <w:r>
        <w:rPr>
          <w:rFonts w:hint="eastAsia" w:ascii="仿宋" w:hAnsi="仿宋" w:eastAsia="仿宋" w:cs="仿宋"/>
          <w:sz w:val="28"/>
          <w:szCs w:val="28"/>
        </w:rPr>
        <w:t>单位（企业）审批</w:t>
      </w:r>
      <w:bookmarkEnd w:id="2"/>
    </w:p>
    <w:p>
      <w:pPr>
        <w:ind w:firstLine="560"/>
        <w:rPr>
          <w:rFonts w:hint="eastAsia" w:ascii="仿宋" w:hAnsi="仿宋" w:eastAsia="仿宋" w:cs="仿宋"/>
          <w:sz w:val="22"/>
          <w:szCs w:val="20"/>
        </w:rPr>
      </w:pPr>
      <w:r>
        <w:rPr>
          <w:rFonts w:hint="eastAsia" w:ascii="仿宋" w:hAnsi="仿宋" w:eastAsia="仿宋" w:cs="仿宋"/>
          <w:sz w:val="24"/>
          <w:szCs w:val="24"/>
        </w:rPr>
        <w:t>用人单位使用法人账号登陆平台（http://qqzx.shiyan.gov.cn/home.html），点击右上角企业名称进入企业中心，在平台首页-企业名称-企业中心-待审批菜单中对申请人提交的资料进行审批、确认。</w:t>
      </w:r>
    </w:p>
    <w:p>
      <w:pPr>
        <w:pStyle w:val="5"/>
        <w:ind w:firstLine="560"/>
        <w:jc w:val="left"/>
        <w:rPr>
          <w:rFonts w:hint="eastAsia" w:ascii="仿宋" w:hAnsi="仿宋" w:eastAsia="仿宋" w:cs="仿宋"/>
          <w:sz w:val="18"/>
          <w:szCs w:val="20"/>
        </w:rPr>
      </w:pPr>
      <w:r>
        <w:rPr>
          <w:rFonts w:hint="eastAsia" w:ascii="仿宋" w:hAnsi="仿宋" w:eastAsia="仿宋" w:cs="仿宋"/>
          <w:sz w:val="18"/>
          <w:szCs w:val="20"/>
        </w:rPr>
        <w:drawing>
          <wp:inline distT="0" distB="0" distL="0" distR="0">
            <wp:extent cx="5274310" cy="2573655"/>
            <wp:effectExtent l="0" t="0" r="13970" b="190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用人单位填写页面上提示的必填内容：金额、负责人姓名、所属区、企业性质等审批内容后“点击生成申请表”，并上传“在职证明”、“工作一年表现证明”，而后在页面右上角点击“同意”后，相关的信息自动提交到对应政府单位进行审核办理。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573655"/>
            <wp:effectExtent l="0" t="0" r="13970" b="190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按照企业性质来区分不同的审批流程，详细如下：</w:t>
      </w:r>
    </w:p>
    <w:p>
      <w:pPr>
        <w:pStyle w:val="8"/>
        <w:numPr>
          <w:ilvl w:val="0"/>
          <w:numId w:val="1"/>
        </w:numPr>
        <w:ind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驻市高校、国家驻市非参公管理事业单位、省驻市非参公管理事业单位，市属国有企业、市级非参公事业单位审批流程：个人提交-单位审核-市人才中心初审-市人才中心复审-专技科-市人社局。</w:t>
      </w:r>
    </w:p>
    <w:p>
      <w:pPr>
        <w:pStyle w:val="5"/>
        <w:ind w:firstLine="0" w:firstLineChars="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（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</w:t>
      </w:r>
      <w:bookmarkStart w:id="4" w:name="_GoBack"/>
      <w:bookmarkEnd w:id="4"/>
      <w:r>
        <w:rPr>
          <w:rFonts w:hint="eastAsia" w:ascii="仿宋" w:hAnsi="仿宋" w:eastAsia="仿宋" w:cs="仿宋"/>
          <w:sz w:val="24"/>
          <w:szCs w:val="24"/>
        </w:rPr>
        <w:t>）民营资本控股企业(单位)审批流程：个人提交-单位审核-区人社局初审-区人社局复审-市人才中心初审-市人才中心复审-专技科-市人社局。</w:t>
      </w:r>
    </w:p>
    <w:p>
      <w:pPr>
        <w:pStyle w:val="5"/>
        <w:jc w:val="center"/>
        <w:rPr>
          <w:sz w:val="18"/>
          <w:szCs w:val="20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sz w:val="18"/>
          <w:szCs w:val="20"/>
        </w:rPr>
        <w:drawing>
          <wp:inline distT="0" distB="0" distL="114300" distR="114300">
            <wp:extent cx="8718550" cy="2506345"/>
            <wp:effectExtent l="0" t="0" r="8255" b="13970"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855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 w:ascii="仿宋" w:hAnsi="仿宋" w:eastAsia="仿宋" w:cs="仿宋"/>
          <w:sz w:val="28"/>
          <w:szCs w:val="28"/>
        </w:rPr>
      </w:pPr>
      <w:bookmarkStart w:id="3" w:name="_Toc7326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1.3</w:t>
      </w:r>
      <w:r>
        <w:rPr>
          <w:rFonts w:hint="eastAsia" w:ascii="仿宋" w:hAnsi="仿宋" w:eastAsia="仿宋" w:cs="仿宋"/>
          <w:sz w:val="28"/>
          <w:szCs w:val="28"/>
        </w:rPr>
        <w:t>审核办理</w:t>
      </w:r>
      <w:bookmarkEnd w:id="3"/>
    </w:p>
    <w:p>
      <w:pPr>
        <w:ind w:firstLine="56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各区人社局、市人才中心、专技科、市人社局使用分配的账号登陆平台管理端（http://qqzx.shiyan.gov.cn/platform/#/login），在申报管理--待处理菜单查看申报信息材料进行审核，并填写意见生成申请表，而后点击页面右上角“同意”或“驳回”。</w:t>
      </w: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1.3.1</w:t>
      </w:r>
      <w:r>
        <w:rPr>
          <w:rFonts w:hint="eastAsia" w:ascii="仿宋" w:hAnsi="仿宋" w:eastAsia="仿宋" w:cs="仿宋"/>
        </w:rPr>
        <w:t>张湾区、茅箭区、经开区人社局初审岗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首先审核申报人上传的相关附件，确认审批信息是否正确，然后点击“点击生成申请表”后进行预览审核。</w:t>
      </w:r>
      <w:r>
        <w:rPr>
          <w:rFonts w:hint="eastAsia" w:ascii="仿宋" w:hAnsi="仿宋" w:eastAsia="仿宋" w:cs="仿宋"/>
          <w:sz w:val="24"/>
          <w:szCs w:val="24"/>
        </w:rPr>
        <w:drawing>
          <wp:inline distT="0" distB="0" distL="0" distR="0">
            <wp:extent cx="5274310" cy="2289810"/>
            <wp:effectExtent l="0" t="0" r="13970" b="1143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若申报数据有问题，可点击驳回，写明驳回原因后点击提交。</w:t>
      </w: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1.3.2</w:t>
      </w:r>
      <w:r>
        <w:rPr>
          <w:rFonts w:hint="eastAsia" w:ascii="仿宋" w:hAnsi="仿宋" w:eastAsia="仿宋" w:cs="仿宋"/>
        </w:rPr>
        <w:t>张湾区、茅箭区、经开区人社局复审岗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首先审核申报人上传的相关附件，点击“点击生成申请表”后进行预览审核。</w:t>
      </w: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216785"/>
            <wp:effectExtent l="0" t="0" r="13970" b="825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若申报数据有问题，可点击驳回，写明驳回原因后点击提交。</w:t>
      </w:r>
    </w:p>
    <w:p>
      <w:pPr>
        <w:bidi w:val="0"/>
        <w:rPr>
          <w:rFonts w:hint="eastAsia"/>
          <w:lang w:val="en-US" w:eastAsia="zh-CN"/>
        </w:rPr>
      </w:pP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1.3.3</w:t>
      </w:r>
      <w:r>
        <w:rPr>
          <w:rFonts w:hint="eastAsia" w:ascii="仿宋" w:hAnsi="仿宋" w:eastAsia="仿宋" w:cs="仿宋"/>
        </w:rPr>
        <w:t>市人才中心初审岗</w:t>
      </w:r>
    </w:p>
    <w:p>
      <w:pPr>
        <w:pStyle w:val="8"/>
        <w:ind w:left="420" w:firstLine="0" w:firstLineChars="0"/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首先审核申报人上传的相关附件，然后点击“点击生成申请表”后进行预览审核。</w:t>
      </w:r>
      <w:r>
        <w:rPr>
          <w:sz w:val="22"/>
          <w:szCs w:val="20"/>
        </w:rPr>
        <w:drawing>
          <wp:inline distT="0" distB="0" distL="0" distR="0">
            <wp:extent cx="5274310" cy="2289810"/>
            <wp:effectExtent l="0" t="0" r="13970" b="1143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</w:rPr>
        <w:t>若申报数据有问题，可点击驳回，写明驳回原因后点击提交。</w:t>
      </w:r>
      <w:r>
        <w:rPr>
          <w:rFonts w:hint="eastAsia" w:ascii="仿宋" w:hAnsi="仿宋" w:eastAsia="仿宋" w:cs="仿宋"/>
          <w:lang w:val="en-US" w:eastAsia="zh-CN"/>
        </w:rPr>
        <w:t xml:space="preserve">   </w:t>
      </w:r>
      <w:r>
        <w:rPr>
          <w:rFonts w:hint="eastAsia"/>
          <w:lang w:val="en-US" w:eastAsia="zh-CN"/>
        </w:rPr>
        <w:t xml:space="preserve">       </w:t>
      </w: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1.3.4</w:t>
      </w:r>
      <w:r>
        <w:rPr>
          <w:rFonts w:hint="eastAsia" w:ascii="仿宋" w:hAnsi="仿宋" w:eastAsia="仿宋" w:cs="仿宋"/>
        </w:rPr>
        <w:t>市人才中心复审岗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首先审核申报人上传的相关附件，然后点击“点击生成申请表”后进行预览审核。</w:t>
      </w: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289810"/>
            <wp:effectExtent l="0" t="0" r="13970" b="1143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若申报数据有问题，可点击驳回，写明驳回原因后点击提交。</w:t>
      </w: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lang w:val="en-US" w:eastAsia="zh-CN"/>
        </w:rPr>
      </w:pPr>
    </w:p>
    <w:p>
      <w:pPr>
        <w:bidi w:val="0"/>
        <w:ind w:left="0" w:leftChars="0" w:firstLine="0" w:firstLineChars="0"/>
        <w:rPr>
          <w:rFonts w:hint="eastAsia" w:ascii="仿宋" w:hAnsi="仿宋" w:eastAsia="仿宋" w:cs="仿宋"/>
          <w:lang w:val="en-US" w:eastAsia="zh-CN"/>
        </w:rPr>
      </w:pP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18"/>
          <w:szCs w:val="20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1.3.5</w:t>
      </w:r>
      <w:r>
        <w:rPr>
          <w:rFonts w:hint="eastAsia" w:ascii="仿宋" w:hAnsi="仿宋" w:eastAsia="仿宋" w:cs="仿宋"/>
        </w:rPr>
        <w:t>专技科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首先审核申报人上传的相关附件，然后点击“点击生成申请表”后进行预览审核。</w:t>
      </w: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581275"/>
            <wp:effectExtent l="0" t="0" r="1397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若申报数据有问题，可点击驳回，写明驳回原因后点击提交。</w:t>
      </w:r>
    </w:p>
    <w:p>
      <w:pPr>
        <w:pStyle w:val="4"/>
        <w:bidi w:val="0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lang w:val="en-US" w:eastAsia="zh-CN"/>
        </w:rPr>
        <w:t>1.3.6</w:t>
      </w:r>
      <w:r>
        <w:rPr>
          <w:rFonts w:hint="eastAsia" w:ascii="仿宋" w:hAnsi="仿宋" w:eastAsia="仿宋" w:cs="仿宋"/>
        </w:rPr>
        <w:t>市人社局审核岗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首先审核申报人上传的相关附件，确认审批信息是否正确，然后点击“点击生成申请表”后进行预览审核。</w:t>
      </w:r>
      <w:r>
        <w:rPr>
          <w:rFonts w:hint="eastAsia" w:ascii="仿宋" w:hAnsi="仿宋" w:eastAsia="仿宋" w:cs="仿宋"/>
          <w:sz w:val="22"/>
          <w:szCs w:val="20"/>
        </w:rPr>
        <w:drawing>
          <wp:inline distT="0" distB="0" distL="0" distR="0">
            <wp:extent cx="5274310" cy="2409190"/>
            <wp:effectExtent l="0" t="0" r="13970" b="1397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然后点击右上角“同意”即可，申报信息进入下一节点进行审批。</w:t>
      </w:r>
    </w:p>
    <w:p>
      <w:pPr>
        <w:pStyle w:val="8"/>
        <w:ind w:left="420" w:firstLine="0" w:firstLineChars="0"/>
        <w:jc w:val="left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若申报数据有问题，可点击驳回，写明驳回原因后点击提交。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1591307"/>
    <w:multiLevelType w:val="singleLevel"/>
    <w:tmpl w:val="51591307"/>
    <w:lvl w:ilvl="0" w:tentative="0">
      <w:start w:val="1"/>
      <w:numFmt w:val="decimal"/>
      <w:suff w:val="nothing"/>
      <w:lvlText w:val="（%1）"/>
      <w:lvlJc w:val="left"/>
      <w:pPr>
        <w:ind w:left="0" w:firstLine="0"/>
      </w:pPr>
      <w:rPr>
        <w:lang w:val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hMjVhMjkwN2Y1YTM1OThiNTllYzhlMzNlYzFkOWYifQ=="/>
  </w:docVars>
  <w:rsids>
    <w:rsidRoot w:val="1A940008"/>
    <w:rsid w:val="1A940008"/>
    <w:rsid w:val="1DDB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2" w:firstLineChars="200"/>
      <w:jc w:val="both"/>
    </w:pPr>
    <w:rPr>
      <w:rFonts w:asciiTheme="minorAscii" w:hAnsiTheme="minorAscii" w:eastAsiaTheme="minorEastAsia" w:cstheme="minorBidi"/>
      <w:kern w:val="2"/>
      <w:sz w:val="28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line="360" w:lineRule="auto"/>
      <w:ind w:firstLine="0" w:firstLineChars="0"/>
      <w:jc w:val="left"/>
      <w:outlineLvl w:val="1"/>
    </w:pPr>
    <w:rPr>
      <w:rFonts w:eastAsia="宋体" w:asciiTheme="majorAscii" w:hAnsiTheme="majorAscii" w:cstheme="majorBidi"/>
      <w:b/>
      <w:bCs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outlineLvl w:val="2"/>
    </w:pPr>
    <w:rPr>
      <w:rFonts w:eastAsia="宋体"/>
      <w:b/>
      <w:sz w:val="24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240" w:lineRule="auto"/>
      <w:ind w:firstLine="0" w:firstLineChars="0"/>
      <w:outlineLvl w:val="3"/>
    </w:pPr>
    <w:rPr>
      <w:rFonts w:ascii="Arial" w:hAnsi="Arial" w:eastAsia="黑体"/>
      <w:b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/>
    </w:pPr>
    <w:rPr>
      <w:sz w:val="21"/>
    </w:rPr>
  </w:style>
  <w:style w:type="paragraph" w:styleId="8">
    <w:name w:val="List Paragraph"/>
    <w:basedOn w:val="1"/>
    <w:autoRedefine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1381</Words>
  <Characters>1524</Characters>
  <Lines>0</Lines>
  <Paragraphs>0</Paragraphs>
  <TotalTime>1</TotalTime>
  <ScaleCrop>false</ScaleCrop>
  <LinksUpToDate>false</LinksUpToDate>
  <CharactersWithSpaces>1534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2024-05-20T08:47:00Z</dcterms:created>
  <dc:creator>王瑛杰</dc:creator>
  <cp:lastModifiedBy>王瑛杰</cp:lastModifiedBy>
  <dcterms:modified xsi:type="dcterms:W3CDTF">2024-05-22T08:38:36Z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78B537B6B9314E99BD23B636D926BDB0_11</vt:lpwstr>
  </property>
</Properties>
</file>